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p>
    <w:p>
      <w:pPr>
        <w:spacing w:beforeLines="100"/>
        <w:jc w:val="center"/>
        <w:rPr>
          <w:rFonts w:ascii="Times New Roman" w:hAnsi="Times New Roman" w:eastAsia="黑体"/>
          <w:color w:val="000000" w:themeColor="text1"/>
          <w:sz w:val="30"/>
          <w:szCs w:val="30"/>
          <w14:textFill>
            <w14:solidFill>
              <w14:schemeClr w14:val="tx1"/>
            </w14:solidFill>
          </w14:textFill>
        </w:rPr>
      </w:pPr>
      <w:bookmarkStart w:id="0" w:name="_GoBack"/>
      <w:r>
        <w:rPr>
          <w:rFonts w:hint="eastAsia" w:ascii="Times New Roman" w:hAnsi="Times New Roman" w:eastAsia="黑体"/>
          <w:color w:val="000000" w:themeColor="text1"/>
          <w:sz w:val="30"/>
          <w:szCs w:val="30"/>
          <w14:textFill>
            <w14:solidFill>
              <w14:schemeClr w14:val="tx1"/>
            </w14:solidFill>
          </w14:textFill>
        </w:rPr>
        <w:t>湖南师范大学课外创新实践活动记学分一览表</w:t>
      </w:r>
    </w:p>
    <w:bookmarkEnd w:id="0"/>
    <w:p>
      <w:pPr>
        <w:spacing w:line="240" w:lineRule="exact"/>
        <w:ind w:firstLine="1394" w:firstLineChars="496"/>
        <w:rPr>
          <w:rFonts w:ascii="Times New Roman" w:hAnsi="Times New Roman" w:eastAsia="宋体"/>
          <w:b/>
          <w:color w:val="000000" w:themeColor="text1"/>
          <w:sz w:val="28"/>
          <w:szCs w:val="28"/>
          <w14:textFill>
            <w14:solidFill>
              <w14:schemeClr w14:val="tx1"/>
            </w14:solidFill>
          </w14:textFill>
        </w:rPr>
      </w:pPr>
    </w:p>
    <w:tbl>
      <w:tblPr>
        <w:tblStyle w:val="4"/>
        <w:tblW w:w="931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72"/>
        <w:gridCol w:w="1796"/>
        <w:gridCol w:w="3973"/>
        <w:gridCol w:w="2368"/>
        <w:gridCol w:w="60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1" w:hRule="atLeast"/>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32" w:lineRule="exact"/>
              <w:jc w:val="center"/>
              <w:rPr>
                <w:rFonts w:ascii="Times New Roman" w:hAnsi="Times New Roman" w:eastAsia="黑体"/>
                <w:color w:val="000000" w:themeColor="text1"/>
                <w:szCs w:val="20"/>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序号</w:t>
            </w:r>
          </w:p>
        </w:tc>
        <w:tc>
          <w:tcPr>
            <w:tcW w:w="1796" w:type="dxa"/>
            <w:tcBorders>
              <w:top w:val="single" w:color="auto" w:sz="8" w:space="0"/>
              <w:left w:val="single" w:color="auto" w:sz="4" w:space="0"/>
              <w:bottom w:val="single" w:color="auto" w:sz="4" w:space="0"/>
              <w:right w:val="single" w:color="auto" w:sz="4" w:space="0"/>
            </w:tcBorders>
            <w:vAlign w:val="center"/>
          </w:tcPr>
          <w:p>
            <w:pPr>
              <w:spacing w:line="232" w:lineRule="exact"/>
              <w:jc w:val="center"/>
              <w:rPr>
                <w:rFonts w:ascii="Times New Roman" w:hAnsi="Times New Roman" w:eastAsia="黑体"/>
                <w:color w:val="000000" w:themeColor="text1"/>
                <w:szCs w:val="20"/>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实践项目</w:t>
            </w:r>
          </w:p>
        </w:tc>
        <w:tc>
          <w:tcPr>
            <w:tcW w:w="6341" w:type="dxa"/>
            <w:gridSpan w:val="2"/>
            <w:tcBorders>
              <w:top w:val="single" w:color="auto" w:sz="8" w:space="0"/>
              <w:left w:val="single" w:color="auto" w:sz="4" w:space="0"/>
              <w:bottom w:val="single" w:color="auto" w:sz="4" w:space="0"/>
              <w:right w:val="single" w:color="auto" w:sz="4" w:space="0"/>
            </w:tcBorders>
            <w:vAlign w:val="center"/>
          </w:tcPr>
          <w:p>
            <w:pPr>
              <w:pStyle w:val="2"/>
              <w:widowControl/>
              <w:spacing w:line="232" w:lineRule="exact"/>
              <w:jc w:val="center"/>
              <w:rPr>
                <w:rFonts w:eastAsia="黑体"/>
                <w:color w:val="000000" w:themeColor="text1"/>
                <w:sz w:val="22"/>
                <w:szCs w:val="20"/>
                <w14:textFill>
                  <w14:solidFill>
                    <w14:schemeClr w14:val="tx1"/>
                  </w14:solidFill>
                </w14:textFill>
              </w:rPr>
            </w:pPr>
            <w:r>
              <w:rPr>
                <w:rFonts w:hint="eastAsia" w:eastAsia="黑体"/>
                <w:color w:val="000000" w:themeColor="text1"/>
                <w:sz w:val="22"/>
                <w14:textFill>
                  <w14:solidFill>
                    <w14:schemeClr w14:val="tx1"/>
                  </w14:solidFill>
                </w14:textFill>
              </w:rPr>
              <w:t>实</w:t>
            </w:r>
            <w:r>
              <w:rPr>
                <w:rFonts w:eastAsia="黑体"/>
                <w:color w:val="000000" w:themeColor="text1"/>
                <w:sz w:val="22"/>
                <w14:textFill>
                  <w14:solidFill>
                    <w14:schemeClr w14:val="tx1"/>
                  </w14:solidFill>
                </w14:textFill>
              </w:rPr>
              <w:t xml:space="preserve">  </w:t>
            </w:r>
            <w:r>
              <w:rPr>
                <w:rFonts w:hint="eastAsia" w:eastAsia="黑体"/>
                <w:color w:val="000000" w:themeColor="text1"/>
                <w:sz w:val="22"/>
                <w14:textFill>
                  <w14:solidFill>
                    <w14:schemeClr w14:val="tx1"/>
                  </w14:solidFill>
                </w14:textFill>
              </w:rPr>
              <w:t>践</w:t>
            </w:r>
            <w:r>
              <w:rPr>
                <w:rFonts w:eastAsia="黑体"/>
                <w:color w:val="000000" w:themeColor="text1"/>
                <w:sz w:val="22"/>
                <w14:textFill>
                  <w14:solidFill>
                    <w14:schemeClr w14:val="tx1"/>
                  </w14:solidFill>
                </w14:textFill>
              </w:rPr>
              <w:t xml:space="preserve">  </w:t>
            </w:r>
            <w:r>
              <w:rPr>
                <w:rFonts w:hint="eastAsia" w:eastAsia="黑体"/>
                <w:color w:val="000000" w:themeColor="text1"/>
                <w:sz w:val="22"/>
                <w14:textFill>
                  <w14:solidFill>
                    <w14:schemeClr w14:val="tx1"/>
                  </w14:solidFill>
                </w14:textFill>
              </w:rPr>
              <w:t>内</w:t>
            </w:r>
            <w:r>
              <w:rPr>
                <w:rFonts w:eastAsia="黑体"/>
                <w:color w:val="000000" w:themeColor="text1"/>
                <w:sz w:val="22"/>
                <w14:textFill>
                  <w14:solidFill>
                    <w14:schemeClr w14:val="tx1"/>
                  </w14:solidFill>
                </w14:textFill>
              </w:rPr>
              <w:t xml:space="preserve">  </w:t>
            </w:r>
            <w:r>
              <w:rPr>
                <w:rFonts w:hint="eastAsia" w:eastAsia="黑体"/>
                <w:color w:val="000000" w:themeColor="text1"/>
                <w:sz w:val="22"/>
                <w14:textFill>
                  <w14:solidFill>
                    <w14:schemeClr w14:val="tx1"/>
                  </w14:solidFill>
                </w14:textFill>
              </w:rPr>
              <w:t>容</w:t>
            </w:r>
          </w:p>
        </w:tc>
        <w:tc>
          <w:tcPr>
            <w:tcW w:w="606" w:type="dxa"/>
            <w:tcBorders>
              <w:top w:val="single" w:color="auto" w:sz="8"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eastAsia="黑体"/>
                <w:color w:val="000000" w:themeColor="text1"/>
                <w:szCs w:val="20"/>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0" w:hRule="atLeas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spacing w:line="232" w:lineRule="exact"/>
              <w:jc w:val="center"/>
              <w:rPr>
                <w:rFonts w:ascii="Times New Roman" w:hAnsi="Times New Roman" w:eastAsia="宋体"/>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1796" w:type="dxa"/>
            <w:vMerge w:val="restart"/>
            <w:tcBorders>
              <w:top w:val="single" w:color="auto" w:sz="4" w:space="0"/>
              <w:left w:val="single" w:color="auto" w:sz="4" w:space="0"/>
              <w:bottom w:val="single" w:color="auto" w:sz="4" w:space="0"/>
              <w:right w:val="single" w:color="auto" w:sz="4"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社会实践活动</w:t>
            </w: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获全国社会实践优秀团队成员</w:t>
            </w:r>
          </w:p>
        </w:tc>
        <w:tc>
          <w:tcPr>
            <w:tcW w:w="606" w:type="dxa"/>
            <w:tcBorders>
              <w:top w:val="single" w:color="auto" w:sz="4" w:space="0"/>
              <w:left w:val="single" w:color="auto" w:sz="4" w:space="0"/>
              <w:bottom w:val="single" w:color="auto" w:sz="4" w:space="0"/>
              <w:right w:val="single" w:color="auto" w:sz="8" w:space="0"/>
            </w:tcBorders>
            <w:vAlign w:val="center"/>
          </w:tcPr>
          <w:p>
            <w:pPr>
              <w:pStyle w:val="2"/>
              <w:widowControl/>
              <w:spacing w:line="232" w:lineRule="exact"/>
              <w:jc w:val="center"/>
              <w:rPr>
                <w:color w:val="000000" w:themeColor="text1"/>
                <w:sz w:val="22"/>
                <w:szCs w:val="20"/>
                <w14:textFill>
                  <w14:solidFill>
                    <w14:schemeClr w14:val="tx1"/>
                  </w14:solidFill>
                </w14:textFill>
              </w:rPr>
            </w:pPr>
            <w:r>
              <w:rPr>
                <w:color w:val="000000" w:themeColor="text1"/>
                <w:sz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获省级及以上部门社会实践、志愿服务优秀个人等称号</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校暑假社会实践十佳优秀个人</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社会调研成果公开发表或具有一定影响力，得到专家认可或被政府有关部门重视</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530" w:hRule="atLeas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1796" w:type="dxa"/>
            <w:vMerge w:val="restart"/>
            <w:tcBorders>
              <w:top w:val="single" w:color="auto" w:sz="4" w:space="0"/>
              <w:left w:val="single" w:color="auto" w:sz="4" w:space="0"/>
              <w:bottom w:val="single" w:color="auto" w:sz="4" w:space="0"/>
              <w:right w:val="single" w:color="auto" w:sz="4" w:space="0"/>
            </w:tcBorders>
            <w:vAlign w:val="center"/>
          </w:tcPr>
          <w:p>
            <w:pPr>
              <w:spacing w:line="232" w:lineRule="exact"/>
              <w:jc w:val="center"/>
              <w:rPr>
                <w:rFonts w:ascii="Times New Roman" w:hAnsi="Times New Roman"/>
                <w:color w:val="000000" w:themeColor="text1"/>
                <w:spacing w:val="-5"/>
                <w14:textFill>
                  <w14:solidFill>
                    <w14:schemeClr w14:val="tx1"/>
                  </w14:solidFill>
                </w14:textFill>
              </w:rPr>
            </w:pPr>
            <w:r>
              <w:rPr>
                <w:rFonts w:hint="eastAsia" w:ascii="Times New Roman" w:hAnsi="Times New Roman"/>
                <w:color w:val="000000" w:themeColor="text1"/>
                <w:spacing w:val="-5"/>
                <w14:textFill>
                  <w14:solidFill>
                    <w14:schemeClr w14:val="tx1"/>
                  </w14:solidFill>
                </w14:textFill>
              </w:rPr>
              <w:t>英语及计算机</w:t>
            </w:r>
          </w:p>
          <w:p>
            <w:pPr>
              <w:spacing w:line="232" w:lineRule="exact"/>
              <w:jc w:val="center"/>
              <w:rPr>
                <w:rFonts w:ascii="Times New Roman" w:hAnsi="Times New Roman"/>
                <w:color w:val="000000" w:themeColor="text1"/>
                <w:spacing w:val="-5"/>
                <w:szCs w:val="20"/>
                <w14:textFill>
                  <w14:solidFill>
                    <w14:schemeClr w14:val="tx1"/>
                  </w14:solidFill>
                </w14:textFill>
              </w:rPr>
            </w:pPr>
            <w:r>
              <w:rPr>
                <w:rFonts w:hint="eastAsia" w:ascii="Times New Roman" w:hAnsi="Times New Roman"/>
                <w:color w:val="000000" w:themeColor="text1"/>
                <w:spacing w:val="-5"/>
                <w14:textFill>
                  <w14:solidFill>
                    <w14:schemeClr w14:val="tx1"/>
                  </w14:solidFill>
                </w14:textFill>
              </w:rPr>
              <w:t>考试</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全国大学英语六级考试、雅思、托福考试</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六级考试成绩达到</w:t>
            </w:r>
            <w:r>
              <w:rPr>
                <w:rFonts w:ascii="Times New Roman" w:hAnsi="Times New Roman"/>
                <w:color w:val="000000" w:themeColor="text1"/>
                <w14:textFill>
                  <w14:solidFill>
                    <w14:schemeClr w14:val="tx1"/>
                  </w14:solidFill>
                </w14:textFill>
              </w:rPr>
              <w:t>540</w:t>
            </w:r>
            <w:r>
              <w:rPr>
                <w:rFonts w:hint="eastAsia" w:ascii="Times New Roman" w:hAnsi="Times New Roman"/>
                <w:color w:val="000000" w:themeColor="text1"/>
                <w14:textFill>
                  <w14:solidFill>
                    <w14:schemeClr w14:val="tx1"/>
                  </w14:solidFill>
                </w14:textFill>
              </w:rPr>
              <w:t>分及以上者；雅思成绩</w:t>
            </w:r>
            <w:r>
              <w:rPr>
                <w:rFonts w:ascii="Times New Roman" w:hAnsi="Times New Roman"/>
                <w:color w:val="000000" w:themeColor="text1"/>
                <w14:textFill>
                  <w14:solidFill>
                    <w14:schemeClr w14:val="tx1"/>
                  </w14:solidFill>
                </w14:textFill>
              </w:rPr>
              <w:t>6.5</w:t>
            </w:r>
            <w:r>
              <w:rPr>
                <w:rFonts w:hint="eastAsia" w:ascii="Times New Roman" w:hAnsi="Times New Roman"/>
                <w:color w:val="000000" w:themeColor="text1"/>
                <w14:textFill>
                  <w14:solidFill>
                    <w14:schemeClr w14:val="tx1"/>
                  </w14:solidFill>
                </w14:textFill>
              </w:rPr>
              <w:t>分（含</w:t>
            </w:r>
            <w:r>
              <w:rPr>
                <w:rFonts w:ascii="Times New Roman" w:hAnsi="Times New Roman"/>
                <w:color w:val="000000" w:themeColor="text1"/>
                <w14:textFill>
                  <w14:solidFill>
                    <w14:schemeClr w14:val="tx1"/>
                  </w14:solidFill>
                </w14:textFill>
              </w:rPr>
              <w:t>6.5</w:t>
            </w:r>
            <w:r>
              <w:rPr>
                <w:rFonts w:hint="eastAsia" w:ascii="Times New Roman" w:hAnsi="Times New Roman"/>
                <w:color w:val="000000" w:themeColor="text1"/>
                <w14:textFill>
                  <w14:solidFill>
                    <w14:schemeClr w14:val="tx1"/>
                  </w14:solidFill>
                </w14:textFill>
              </w:rPr>
              <w:t>分）以上；托福成绩</w:t>
            </w:r>
            <w:r>
              <w:rPr>
                <w:rFonts w:ascii="Times New Roman" w:hAnsi="Times New Roman"/>
                <w:color w:val="000000" w:themeColor="text1"/>
                <w14:textFill>
                  <w14:solidFill>
                    <w14:schemeClr w14:val="tx1"/>
                  </w14:solidFill>
                </w14:textFill>
              </w:rPr>
              <w:t>95</w:t>
            </w:r>
            <w:r>
              <w:rPr>
                <w:rFonts w:hint="eastAsia" w:ascii="Times New Roman" w:hAnsi="Times New Roman"/>
                <w:color w:val="000000" w:themeColor="text1"/>
                <w14:textFill>
                  <w14:solidFill>
                    <w14:schemeClr w14:val="tx1"/>
                  </w14:solidFill>
                </w14:textFill>
              </w:rPr>
              <w:t>分（含</w:t>
            </w:r>
            <w:r>
              <w:rPr>
                <w:rFonts w:ascii="Times New Roman" w:hAnsi="Times New Roman"/>
                <w:color w:val="000000" w:themeColor="text1"/>
                <w14:textFill>
                  <w14:solidFill>
                    <w14:schemeClr w14:val="tx1"/>
                  </w14:solidFill>
                </w14:textFill>
              </w:rPr>
              <w:t>95</w:t>
            </w:r>
            <w:r>
              <w:rPr>
                <w:rFonts w:hint="eastAsia" w:ascii="Times New Roman" w:hAnsi="Times New Roman"/>
                <w:color w:val="000000" w:themeColor="text1"/>
                <w14:textFill>
                  <w14:solidFill>
                    <w14:schemeClr w14:val="tx1"/>
                  </w14:solidFill>
                </w14:textFill>
              </w:rPr>
              <w:t>分）以上</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pacing w:val="-5"/>
                <w:szCs w:val="20"/>
                <w14:textFill>
                  <w14:solidFill>
                    <w14:schemeClr w14:val="tx1"/>
                  </w14:solidFill>
                </w14:textFill>
              </w:rPr>
            </w:pPr>
          </w:p>
        </w:tc>
        <w:tc>
          <w:tcPr>
            <w:tcW w:w="397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全国计算机软件资格、水平考试</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获系统分析员证书者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pacing w:val="-5"/>
                <w:szCs w:val="20"/>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获高级程序员证书者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pacing w:val="-5"/>
                <w:szCs w:val="20"/>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获程序员证书者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0" w:hRule="atLeas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spacing w:line="232" w:lineRule="exact"/>
              <w:rPr>
                <w:rFonts w:ascii="Times New Roman" w:hAnsi="Times New Roman"/>
                <w:color w:val="000000" w:themeColor="text1"/>
                <w14:textFill>
                  <w14:solidFill>
                    <w14:schemeClr w14:val="tx1"/>
                  </w14:solidFill>
                </w14:textFill>
              </w:rPr>
            </w:pPr>
          </w:p>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179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参加由学校或上级主管部门组织的各级各类文化体育艺术竞赛、学科竞赛和科技文化创新活动</w:t>
            </w:r>
          </w:p>
        </w:tc>
        <w:tc>
          <w:tcPr>
            <w:tcW w:w="397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国际专业大赛</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获国际金奖</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获国际银奖</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获国际铜奖</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国家级</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获一等奖及以上者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获二等奖者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2"/>
              <w:widowControl/>
              <w:spacing w:line="260" w:lineRule="exact"/>
              <w:rPr>
                <w:color w:val="000000" w:themeColor="text1"/>
                <w:sz w:val="22"/>
                <w:szCs w:val="20"/>
                <w14:textFill>
                  <w14:solidFill>
                    <w14:schemeClr w14:val="tx1"/>
                  </w14:solidFill>
                </w14:textFill>
              </w:rPr>
            </w:pPr>
            <w:r>
              <w:rPr>
                <w:rFonts w:hint="eastAsia"/>
                <w:color w:val="000000" w:themeColor="text1"/>
                <w:sz w:val="21"/>
                <w14:textFill>
                  <w14:solidFill>
                    <w14:schemeClr w14:val="tx1"/>
                  </w14:solidFill>
                </w14:textFill>
              </w:rPr>
              <w:t>获三等奖者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省级</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获一等奖者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获二等奖者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获三等奖者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校级</w:t>
            </w:r>
          </w:p>
        </w:tc>
        <w:tc>
          <w:tcPr>
            <w:tcW w:w="2368" w:type="dxa"/>
            <w:tcBorders>
              <w:top w:val="single" w:color="auto" w:sz="4" w:space="0"/>
              <w:left w:val="single" w:color="auto" w:sz="4" w:space="0"/>
              <w:bottom w:val="outset" w:color="auto" w:sz="6"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获一等奖者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0" w:hRule="atLeast"/>
          <w:jc w:val="center"/>
        </w:trPr>
        <w:tc>
          <w:tcPr>
            <w:tcW w:w="572" w:type="dxa"/>
            <w:vMerge w:val="restart"/>
            <w:tcBorders>
              <w:top w:val="single" w:color="auto" w:sz="4" w:space="0"/>
              <w:left w:val="single" w:color="auto" w:sz="8" w:space="0"/>
              <w:bottom w:val="outset" w:color="auto" w:sz="6" w:space="0"/>
              <w:right w:val="single" w:color="auto" w:sz="4"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1796" w:type="dxa"/>
            <w:vMerge w:val="restart"/>
            <w:tcBorders>
              <w:top w:val="single" w:color="auto" w:sz="4" w:space="0"/>
              <w:left w:val="single" w:color="auto" w:sz="4" w:space="0"/>
              <w:bottom w:val="outset" w:color="auto" w:sz="6" w:space="0"/>
              <w:right w:val="single" w:color="auto" w:sz="4"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论文、作品、</w:t>
            </w:r>
          </w:p>
          <w:p>
            <w:pPr>
              <w:spacing w:line="232"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专利</w:t>
            </w: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有发明专利者</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在重要刊物以第一作者发表学术论文（作品）</w:t>
            </w:r>
          </w:p>
        </w:tc>
        <w:tc>
          <w:tcPr>
            <w:tcW w:w="2368" w:type="dxa"/>
            <w:vMerge w:val="restart"/>
            <w:tcBorders>
              <w:top w:val="single" w:color="auto" w:sz="4" w:space="0"/>
              <w:left w:val="single" w:color="auto" w:sz="4" w:space="0"/>
              <w:bottom w:val="outset" w:color="auto" w:sz="6"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每篇论文（作品）</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w:t>
            </w:r>
            <w:r>
              <w:rPr>
                <w:rFonts w:ascii="Times New Roman" w:hAnsi="Times New Roman"/>
                <w:color w:val="000000" w:themeColor="text1"/>
                <w14:textFill>
                  <w14:solidFill>
                    <w14:schemeClr w14:val="tx1"/>
                  </w14:solidFill>
                </w14:textFill>
              </w:rPr>
              <w:t>CSSCI</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CSCD</w:t>
            </w:r>
            <w:r>
              <w:rPr>
                <w:rFonts w:hint="eastAsia" w:ascii="Times New Roman" w:hAnsi="Times New Roman"/>
                <w:color w:val="000000" w:themeColor="text1"/>
                <w14:textFill>
                  <w14:solidFill>
                    <w14:schemeClr w14:val="tx1"/>
                  </w14:solidFill>
                </w14:textFill>
              </w:rPr>
              <w:t>来源刊物以第一作者发表学术论文（作品）</w:t>
            </w:r>
          </w:p>
        </w:tc>
        <w:tc>
          <w:tcPr>
            <w:tcW w:w="2368" w:type="dxa"/>
            <w:vMerge w:val="continue"/>
            <w:tcBorders>
              <w:top w:val="single" w:color="auto" w:sz="4" w:space="0"/>
              <w:left w:val="single" w:color="auto" w:sz="4"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606" w:type="dxa"/>
            <w:tcBorders>
              <w:top w:val="outset" w:color="auto" w:sz="6"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796" w:type="dxa"/>
            <w:vMerge w:val="continue"/>
            <w:tcBorders>
              <w:top w:val="single" w:color="auto" w:sz="4" w:space="0"/>
              <w:left w:val="single" w:color="auto" w:sz="4"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在其他公开刊物以第一作者发表学术论文（作品）</w:t>
            </w:r>
          </w:p>
        </w:tc>
        <w:tc>
          <w:tcPr>
            <w:tcW w:w="2368" w:type="dxa"/>
            <w:vMerge w:val="continue"/>
            <w:tcBorders>
              <w:top w:val="single" w:color="auto" w:sz="4" w:space="0"/>
              <w:left w:val="single" w:color="auto" w:sz="4" w:space="0"/>
              <w:bottom w:val="outset" w:color="auto" w:sz="6"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1" w:hRule="atLeast"/>
          <w:jc w:val="center"/>
        </w:trPr>
        <w:tc>
          <w:tcPr>
            <w:tcW w:w="572" w:type="dxa"/>
            <w:tcBorders>
              <w:top w:val="single" w:color="auto" w:sz="4" w:space="0"/>
              <w:left w:val="single" w:color="auto" w:sz="8" w:space="0"/>
              <w:bottom w:val="single" w:color="auto" w:sz="4" w:space="0"/>
              <w:right w:val="single" w:color="auto" w:sz="4" w:space="0"/>
            </w:tcBorders>
            <w:vAlign w:val="center"/>
          </w:tcPr>
          <w:p>
            <w:pPr>
              <w:spacing w:line="232" w:lineRule="exact"/>
              <w:ind w:firstLine="105" w:firstLineChars="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著作</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出版专著（含长篇小说、文学作品集、音像制品、美术作品集等）</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每部专著</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88" w:hRule="atLeas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179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音乐表演与</w:t>
            </w:r>
          </w:p>
          <w:p>
            <w:pPr>
              <w:spacing w:line="260" w:lineRule="exact"/>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服饰表演</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省级</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场</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2"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szCs w:val="20"/>
                <w14:textFill>
                  <w14:solidFill>
                    <w14:schemeClr w14:val="tx1"/>
                  </w14:solidFill>
                </w14:textFill>
              </w:rPr>
            </w:pPr>
          </w:p>
        </w:tc>
        <w:tc>
          <w:tcPr>
            <w:tcW w:w="39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14:textFill>
                  <w14:solidFill>
                    <w14:schemeClr w14:val="tx1"/>
                  </w14:solidFill>
                </w14:textFill>
              </w:rPr>
              <w:t>校级个人专场音乐会</w:t>
            </w:r>
          </w:p>
        </w:tc>
        <w:tc>
          <w:tcPr>
            <w:tcW w:w="23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场</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8" w:hRule="atLeast"/>
          <w:jc w:val="center"/>
        </w:trPr>
        <w:tc>
          <w:tcPr>
            <w:tcW w:w="572" w:type="dxa"/>
            <w:tcBorders>
              <w:top w:val="single" w:color="auto" w:sz="4" w:space="0"/>
              <w:left w:val="single" w:color="auto" w:sz="8" w:space="0"/>
              <w:bottom w:val="single" w:color="auto" w:sz="4" w:space="0"/>
              <w:right w:val="single" w:color="auto" w:sz="4"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创新性实验与</w:t>
            </w:r>
          </w:p>
          <w:p>
            <w:pPr>
              <w:spacing w:line="2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创业项目</w:t>
            </w:r>
          </w:p>
        </w:tc>
        <w:tc>
          <w:tcPr>
            <w:tcW w:w="63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主持大学生创新性实验项目立项并结题，获创业项目并取得相应成效</w:t>
            </w:r>
          </w:p>
        </w:tc>
        <w:tc>
          <w:tcPr>
            <w:tcW w:w="606" w:type="dxa"/>
            <w:tcBorders>
              <w:top w:val="single" w:color="auto" w:sz="4" w:space="0"/>
              <w:left w:val="single" w:color="auto" w:sz="4" w:space="0"/>
              <w:bottom w:val="single" w:color="auto" w:sz="4"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8" w:hRule="atLeast"/>
          <w:jc w:val="center"/>
        </w:trPr>
        <w:tc>
          <w:tcPr>
            <w:tcW w:w="572" w:type="dxa"/>
            <w:tcBorders>
              <w:top w:val="single" w:color="auto" w:sz="4" w:space="0"/>
              <w:left w:val="single" w:color="auto" w:sz="8" w:space="0"/>
              <w:bottom w:val="single" w:color="auto" w:sz="8" w:space="0"/>
              <w:right w:val="single" w:color="auto" w:sz="4"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1796" w:type="dxa"/>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其他创新创业</w:t>
            </w:r>
          </w:p>
          <w:p>
            <w:pPr>
              <w:spacing w:line="2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实践</w:t>
            </w:r>
          </w:p>
        </w:tc>
        <w:tc>
          <w:tcPr>
            <w:tcW w:w="6341" w:type="dxa"/>
            <w:gridSpan w:val="2"/>
            <w:tcBorders>
              <w:top w:val="single" w:color="auto" w:sz="4" w:space="0"/>
              <w:left w:val="single" w:color="auto" w:sz="4" w:space="0"/>
              <w:bottom w:val="single" w:color="auto" w:sz="8" w:space="0"/>
              <w:right w:val="single" w:color="auto" w:sz="4" w:space="0"/>
            </w:tcBorders>
            <w:vAlign w:val="center"/>
          </w:tcPr>
          <w:p>
            <w:pPr>
              <w:spacing w:line="26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参加创新创业实践活动并获得由相关部门认定的相应成绩</w:t>
            </w:r>
          </w:p>
        </w:tc>
        <w:tc>
          <w:tcPr>
            <w:tcW w:w="606" w:type="dxa"/>
            <w:tcBorders>
              <w:top w:val="single" w:color="auto" w:sz="4" w:space="0"/>
              <w:left w:val="single" w:color="auto" w:sz="4" w:space="0"/>
              <w:bottom w:val="single" w:color="auto" w:sz="8" w:space="0"/>
              <w:right w:val="single" w:color="auto" w:sz="8" w:space="0"/>
            </w:tcBorders>
            <w:vAlign w:val="center"/>
          </w:tcPr>
          <w:p>
            <w:pPr>
              <w:spacing w:line="232"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2-4</w:t>
            </w:r>
          </w:p>
        </w:tc>
      </w:tr>
    </w:tbl>
    <w:p>
      <w:pPr>
        <w:spacing w:beforeLines="30" w:line="232"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注：课外创新实践活动记公共选修课程学分最终认定权和解释权由教务处行使。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11601"/>
    <w:rsid w:val="39C11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semiHidden/>
    <w:unhideWhenUsed/>
    <w:qFormat/>
    <w:uiPriority w:val="99"/>
    <w:rPr>
      <w:rFonts w:ascii="Times New Roman" w:hAnsi="Times New Roman" w:eastAsia="微软雅黑"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2018-11-06T01:15:00Z</dcterms:created>
  <dc:creator>hnsd</dc:creator>
  <cp:lastModifiedBy>hnsd</cp:lastModifiedBy>
  <dcterms:modified xsi:type="dcterms:W3CDTF">2018-11-06T01:15:21Z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